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188"/>
        <w:gridCol w:w="1670"/>
        <w:gridCol w:w="3862"/>
      </w:tblGrid>
      <w:tr w:rsidR="00591813" w:rsidTr="00FE0D58">
        <w:trPr>
          <w:trHeight w:val="2382"/>
        </w:trPr>
        <w:tc>
          <w:tcPr>
            <w:tcW w:w="4188" w:type="dxa"/>
          </w:tcPr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БАШКОРТОСТАН РЕСПУБЛИКАҺЫ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БӨРЙӘН РАЙОНЫ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МУНИЦИПАЛЬ РАЙОНЫНЫҢ     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КЕЙЕКБАЙ АУЫЛ СОВЕТЫ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АУЫЛ БИЛӘМӘҺЕ СОВЕТЫ</w:t>
            </w:r>
          </w:p>
          <w:p w:rsidR="00591813" w:rsidRDefault="0059181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lang w:val="be-BY" w:eastAsia="ru-RU"/>
              </w:rPr>
              <w:t>Салауат Юлаев урамы , 13 й.,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lang w:val="be-BY" w:eastAsia="ru-RU"/>
              </w:rPr>
              <w:t xml:space="preserve"> Кейекбай ауылы, 453588  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lang w:val="be-BY" w:eastAsia="ru-RU"/>
              </w:rPr>
              <w:t>тел.(34755) 3-33-14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, факс(</w:t>
            </w:r>
            <w:r>
              <w:rPr>
                <w:rFonts w:ascii="Times New Roman" w:hAnsi="Times New Roman" w:cs="Times New Roman"/>
                <w:noProof/>
                <w:lang w:val="be-BY" w:eastAsia="ru-RU"/>
              </w:rPr>
              <w:t>34755) 3-33-14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kiekbae@yandex.ru</w:t>
            </w:r>
          </w:p>
        </w:tc>
        <w:tc>
          <w:tcPr>
            <w:tcW w:w="1670" w:type="dxa"/>
          </w:tcPr>
          <w:p w:rsidR="00591813" w:rsidRDefault="00AD0E2B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942975"/>
                  <wp:effectExtent l="0" t="0" r="0" b="9525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СЕЛЬСКОГО  ПОСЕЛЕНИЯ   КИЕКБАЕВСКИЙ СЕЛЬСОВЕТ МУНИЦИПАЛЬНОГО РАЙОНА БУРЗЯНСКИЙ РАЙОН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РЕСПУБЛИКИ БАШКОРТОСТАН 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lang w:val="be-BY" w:eastAsia="ru-RU"/>
              </w:rPr>
              <w:t>ул.Салавата Юлаева , д.13,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д.Киекбаево, 453588</w:t>
            </w:r>
          </w:p>
          <w:p w:rsidR="00591813" w:rsidRDefault="00591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тел.(34755) 3-33-14,факс(</w:t>
            </w:r>
            <w:r>
              <w:rPr>
                <w:rFonts w:ascii="Times New Roman" w:hAnsi="Times New Roman" w:cs="Times New Roman"/>
                <w:noProof/>
                <w:lang w:val="be-BY" w:eastAsia="ru-RU"/>
              </w:rPr>
              <w:t>34755) 3-33-14</w:t>
            </w:r>
          </w:p>
        </w:tc>
      </w:tr>
      <w:tr w:rsidR="00591813" w:rsidTr="00FE0D58">
        <w:trPr>
          <w:trHeight w:val="80"/>
        </w:trPr>
        <w:tc>
          <w:tcPr>
            <w:tcW w:w="9720" w:type="dxa"/>
            <w:gridSpan w:val="3"/>
          </w:tcPr>
          <w:p w:rsidR="00591813" w:rsidRDefault="00591813">
            <w:pPr>
              <w:spacing w:after="0" w:line="240" w:lineRule="auto"/>
              <w:ind w:right="-57"/>
              <w:outlineLvl w:val="0"/>
              <w:rPr>
                <w:rFonts w:ascii="Times New Roman" w:hAnsi="Times New Roman" w:cs="Times New Roman"/>
                <w:sz w:val="10"/>
                <w:szCs w:val="10"/>
                <w:lang w:val="be-BY" w:eastAsia="ru-RU"/>
              </w:rPr>
            </w:pPr>
          </w:p>
        </w:tc>
      </w:tr>
    </w:tbl>
    <w:p w:rsidR="00591813" w:rsidRDefault="00591813" w:rsidP="00FE0D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_____ОКПО 04282521    ОГРН 1020201626059   ИНН 0218000369   КПП 021801001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591813" w:rsidRDefault="00591813" w:rsidP="00FE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be-BY" w:eastAsia="ru-RU"/>
        </w:rPr>
        <w:t>ПРОЕКТ РЕШЕНИЯ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591813" w:rsidTr="00FE0D58">
        <w:tc>
          <w:tcPr>
            <w:tcW w:w="2740" w:type="dxa"/>
          </w:tcPr>
          <w:p w:rsidR="00591813" w:rsidRDefault="0059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:rsidR="00591813" w:rsidRDefault="005918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591813" w:rsidRDefault="005918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591813" w:rsidRDefault="005918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</w:tcPr>
          <w:p w:rsidR="00591813" w:rsidRDefault="0059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591813" w:rsidRDefault="00591813" w:rsidP="00FE0D58">
      <w:pPr>
        <w:pStyle w:val="msonormalcxspmiddle"/>
        <w:tabs>
          <w:tab w:val="left" w:pos="1265"/>
          <w:tab w:val="left" w:pos="6762"/>
        </w:tabs>
        <w:spacing w:before="0" w:beforeAutospacing="0" w:after="0" w:afterAutospacing="0"/>
        <w:contextualSpacing/>
        <w:jc w:val="both"/>
        <w:rPr>
          <w:sz w:val="16"/>
          <w:szCs w:val="16"/>
          <w:lang w:val="be-BY"/>
        </w:rPr>
      </w:pPr>
    </w:p>
    <w:p w:rsidR="00591813" w:rsidRDefault="00AD0E2B" w:rsidP="00FE0D58">
      <w:pPr>
        <w:pStyle w:val="msonormalcxspmiddle"/>
        <w:tabs>
          <w:tab w:val="left" w:pos="1265"/>
          <w:tab w:val="left" w:pos="6762"/>
        </w:tabs>
        <w:spacing w:before="0" w:beforeAutospacing="0" w:after="0" w:afterAutospacing="0"/>
        <w:contextualSpacing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 24</w:t>
      </w:r>
      <w:r w:rsidR="00591813">
        <w:rPr>
          <w:b/>
          <w:sz w:val="28"/>
          <w:szCs w:val="28"/>
        </w:rPr>
        <w:t>» ноябрь 2023 й.                  №</w:t>
      </w:r>
      <w:r>
        <w:rPr>
          <w:b/>
          <w:sz w:val="28"/>
          <w:szCs w:val="28"/>
        </w:rPr>
        <w:t xml:space="preserve"> 29-4/19а                    « 24</w:t>
      </w:r>
      <w:r w:rsidR="00591813">
        <w:rPr>
          <w:b/>
          <w:sz w:val="28"/>
          <w:szCs w:val="28"/>
        </w:rPr>
        <w:t xml:space="preserve"> »  ноября  </w:t>
      </w:r>
      <w:smartTag w:uri="urn:schemas-microsoft-com:office:smarttags" w:element="metricconverter">
        <w:smartTagPr>
          <w:attr w:name="ProductID" w:val="2023 г"/>
        </w:smartTagPr>
        <w:r w:rsidR="00591813">
          <w:rPr>
            <w:b/>
            <w:sz w:val="28"/>
            <w:szCs w:val="28"/>
          </w:rPr>
          <w:t>2023 г</w:t>
        </w:r>
      </w:smartTag>
      <w:r w:rsidR="00591813">
        <w:rPr>
          <w:b/>
          <w:sz w:val="28"/>
          <w:szCs w:val="28"/>
        </w:rPr>
        <w:t>.</w:t>
      </w:r>
    </w:p>
    <w:p w:rsidR="00591813" w:rsidRDefault="00591813" w:rsidP="00FE0D5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be-BY"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be-BY" w:eastAsia="ru-RU"/>
        </w:rPr>
        <w:t xml:space="preserve">   Кейекбай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ауылы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  <w:t xml:space="preserve">    д.Киекбаево</w:t>
      </w:r>
    </w:p>
    <w:p w:rsidR="00591813" w:rsidRDefault="00591813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1813" w:rsidRPr="00D35889" w:rsidRDefault="00591813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Киекбаевский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на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91813" w:rsidRPr="008F7233" w:rsidRDefault="00591813" w:rsidP="009840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91813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>Статья 1</w:t>
      </w:r>
    </w:p>
    <w:p w:rsidR="00591813" w:rsidRPr="00221588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591813" w:rsidRPr="00221588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 в сумме 3087,6 тыс.рублей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1813" w:rsidRPr="00221588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 в сумме 3087,6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1813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6C2732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1813" w:rsidRPr="00221588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591813" w:rsidRPr="00221588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Киекбаевский сельсовет муниципального района Бурзянский район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591813" w:rsidRPr="00221588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год в сумме 2647,6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сумме 2706,6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1813" w:rsidRPr="00221588" w:rsidRDefault="00591813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год в сумме 2647,6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 утвержденные расходы в сумме 60,0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 год в сумме 2706,6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расходы в сумме 119,0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1813" w:rsidRDefault="00591813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1813" w:rsidRPr="008F7233" w:rsidRDefault="00591813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рублей.</w:t>
      </w:r>
    </w:p>
    <w:p w:rsidR="00591813" w:rsidRPr="008F7233" w:rsidRDefault="00591813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</w:p>
    <w:p w:rsidR="00591813" w:rsidRPr="008B5526" w:rsidRDefault="00591813" w:rsidP="008B552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сельского поселения Киекбаевский сельсовет муниципального района Бурзянский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Киекбаевский сельсовет муниципального района Бурзянский район Республики Башкортостан для последующего доведения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взносы (пожертвования).</w:t>
      </w:r>
    </w:p>
    <w:p w:rsidR="00591813" w:rsidRPr="008F7233" w:rsidRDefault="00591813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591813" w:rsidRDefault="00591813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 сельского поселения Киекбаевский сельсовет муниципального района Бурзянский район Республики Башкортостан на 2024 год и на плановый период 2025 и 2026 годов согласно приложению 1 к настоящему Решению.</w:t>
      </w:r>
    </w:p>
    <w:p w:rsidR="00591813" w:rsidRDefault="00591813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591813" w:rsidRDefault="00591813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 пределах общего объема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 на 2024 год и на плановый период 2025 и 2026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91813" w:rsidRPr="008F7233" w:rsidRDefault="00591813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мным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2 к настоящему Решению;</w:t>
      </w:r>
    </w:p>
    <w:p w:rsidR="00591813" w:rsidRDefault="00591813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программам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3 к настоящему Решению.</w:t>
      </w:r>
    </w:p>
    <w:p w:rsidR="00591813" w:rsidRDefault="00591813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 на 2024 год и на плановый период 2025 и 2026 годов согласно приложению 4 к настоящему Решению.</w:t>
      </w:r>
    </w:p>
    <w:p w:rsidR="00591813" w:rsidRPr="005B06D2" w:rsidRDefault="00591813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B06D2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</w:p>
    <w:p w:rsidR="00591813" w:rsidRPr="005B06D2" w:rsidRDefault="00591813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Киекбаевский</w:t>
      </w: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района Бурзянский район Республики Башкортостан, осуществляется Упавлением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591813" w:rsidRPr="00E16B38" w:rsidRDefault="00591813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Статья 6</w:t>
      </w:r>
    </w:p>
    <w:p w:rsidR="00591813" w:rsidRPr="005B06D2" w:rsidRDefault="00591813" w:rsidP="005B06D2">
      <w:pPr>
        <w:pStyle w:val="ConsPlusTitle"/>
        <w:spacing w:line="348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Киекбаевский сельсовет муниципального района Бурзянский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230,0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 год в сумме 230,0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 год в сумме 230,0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91813" w:rsidRDefault="00591813" w:rsidP="002A5BF8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32408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</w:p>
    <w:p w:rsidR="00591813" w:rsidRDefault="00591813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91813" w:rsidRDefault="0059181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2. Проекты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решений и иных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91813" w:rsidRDefault="0059181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2024–2026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работников организаций бюджетной </w:t>
      </w:r>
      <w:r w:rsidRPr="00BD7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за исключением случаев, связанных с реализацией поручений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91813" w:rsidRPr="008F7233" w:rsidRDefault="00591813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96F5A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</w:p>
    <w:p w:rsidR="00591813" w:rsidRPr="0036544F" w:rsidRDefault="00591813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КИЕКБАЕВСКИЙ сельсовет муниципального района Бурзянский район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КИЕКБАЕВСКИЙ сельсовет муниципального района Бурзянский район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валюте Российской Федерации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года в сумме 0,00 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00рубл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91813" w:rsidRDefault="00591813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возможным гарантийным случаям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026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рубля.</w:t>
      </w:r>
    </w:p>
    <w:p w:rsidR="00591813" w:rsidRDefault="00591813" w:rsidP="00EC57B7">
      <w:pPr>
        <w:widowControl w:val="0"/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7233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591813" w:rsidRDefault="00591813" w:rsidP="00EC57B7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Киекбаевский </w:t>
      </w:r>
      <w:bookmarkStart w:id="0" w:name="_GoBack"/>
      <w:r w:rsidRPr="00AD0E2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Бурзянский район Республики Башкортостан от </w:t>
      </w:r>
      <w:r w:rsidR="00AD0E2B" w:rsidRPr="00AD0E2B">
        <w:rPr>
          <w:rFonts w:ascii="Times New Roman" w:hAnsi="Times New Roman" w:cs="Times New Roman"/>
          <w:sz w:val="28"/>
          <w:szCs w:val="28"/>
        </w:rPr>
        <w:t>15.04.2022 года №28-33/96</w:t>
      </w:r>
      <w:r w:rsidRPr="00AD0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A3B3C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утверждении положения о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поселении Киекбаевский сельсовет </w:t>
      </w:r>
      <w:r w:rsidRPr="0083208D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Бурзянский район </w:t>
      </w:r>
      <w:r w:rsidRPr="003A3B3C">
        <w:rPr>
          <w:rFonts w:ascii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Башкортостан»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период, связанные с особенностями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:</w:t>
      </w:r>
    </w:p>
    <w:p w:rsidR="00591813" w:rsidRDefault="00591813" w:rsidP="00EC57B7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51C">
        <w:rPr>
          <w:rFonts w:ascii="Times New Roman" w:hAnsi="Times New Roman"/>
          <w:sz w:val="28"/>
          <w:szCs w:val="28"/>
          <w:lang w:eastAsia="ru-RU"/>
        </w:rPr>
        <w:t xml:space="preserve">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, по результатам закупок товаров, работ, услуг путем проведения конкурентных способов определения поставщиков (подрядчиков, исполнителей)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1813" w:rsidRPr="00BB151C" w:rsidRDefault="00591813" w:rsidP="00C11BB4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Установить, что средства, за исключением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обслуживание муниципального долга сельского поселения КИЕКБАЕВСКИЙ сельсовет муниципального района Бурзянский район Республики Башкортостан, бюджетных ассигнований Дорожного фонда муниципального района Бурзянский район Республики Башкортостан, бюджетных ассигнований на реализацию Республиканской адресной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инвестиционной программы Республики Башкортостан, бюджетных ассигнований за счет безвозмездных поступлений, бюджетных ассигнований на реализацию мероприятий региональных проектов и бюджетных ассигнований, в целях софинансирования которых предоставляются из республиканского и федерального бюджета субсидии и иные межбюджетные трансферты, в объеме сумм экономии средств бюджета сельского поселения КИЕКБАЕВСКИЙ сельсовет муниципального района Бурзянский район Республики Башкортостан по результатам проведения конкурентных способов определения поставщиков (подрядчиков, исполнителей) при осуществлении закупок товаров, работ, услуг в 2024 году, сложившейся у их получателей – органов местного самоуправления, подлежат использованию получателями – органами местного самоуправления в порядке, установленном Администрацией муниципального района Бурзянский район Республики Башкортостан.</w:t>
      </w:r>
    </w:p>
    <w:p w:rsidR="00591813" w:rsidRDefault="00591813" w:rsidP="0061731F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 Установить, что исполнение бюджета сельского поселения Киекбаевский сельсовет муниципального района Бурзянский район Республики Башкортостан в 2024 году осуществляется с учетом особенностей исполнения бюджетов бюджетной системы Российской Федерации в 2024 году, определенных действующим федеральным законодательством.</w:t>
      </w:r>
    </w:p>
    <w:p w:rsidR="00591813" w:rsidRPr="00F41265" w:rsidRDefault="00591813" w:rsidP="00EC57B7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91813" w:rsidRPr="008F7233" w:rsidRDefault="00591813" w:rsidP="00EC57B7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10</w:t>
      </w:r>
    </w:p>
    <w:p w:rsidR="00591813" w:rsidRPr="008F7233" w:rsidRDefault="00591813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591813" w:rsidRPr="008F7233" w:rsidRDefault="00591813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1813" w:rsidRPr="008F7233" w:rsidRDefault="00591813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1813" w:rsidRDefault="00591813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591813" w:rsidRDefault="00591813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Киекбаевский сельсовет</w:t>
      </w:r>
    </w:p>
    <w:p w:rsidR="00591813" w:rsidRDefault="00591813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Бурзянский сельсовет</w:t>
      </w:r>
    </w:p>
    <w:p w:rsidR="00591813" w:rsidRDefault="00591813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Башкортостан:                                                           С.С.Сагитов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91813" w:rsidSect="00754E97">
      <w:headerReference w:type="default" r:id="rId7"/>
      <w:headerReference w:type="first" r:id="rId8"/>
      <w:pgSz w:w="11906" w:h="16838" w:code="9"/>
      <w:pgMar w:top="1438" w:right="851" w:bottom="102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A3" w:rsidRDefault="009D0EA3" w:rsidP="00A73E2F">
      <w:r>
        <w:separator/>
      </w:r>
    </w:p>
  </w:endnote>
  <w:endnote w:type="continuationSeparator" w:id="0">
    <w:p w:rsidR="009D0EA3" w:rsidRDefault="009D0EA3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A3" w:rsidRDefault="009D0EA3" w:rsidP="00A73E2F">
      <w:r>
        <w:separator/>
      </w:r>
    </w:p>
  </w:footnote>
  <w:footnote w:type="continuationSeparator" w:id="0">
    <w:p w:rsidR="009D0EA3" w:rsidRDefault="009D0EA3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13" w:rsidRPr="00156A4F" w:rsidRDefault="00591813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AD0E2B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591813" w:rsidRPr="00156A4F" w:rsidRDefault="00591813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13" w:rsidRPr="007226DB" w:rsidRDefault="00591813">
    <w:pPr>
      <w:pStyle w:val="a3"/>
      <w:jc w:val="center"/>
      <w:rPr>
        <w:rFonts w:ascii="Times New Roman" w:hAnsi="Times New Roman"/>
        <w:sz w:val="28"/>
        <w:szCs w:val="28"/>
      </w:rPr>
    </w:pPr>
  </w:p>
  <w:p w:rsidR="00591813" w:rsidRPr="007226DB" w:rsidRDefault="00591813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8AD"/>
    <w:rsid w:val="00004F36"/>
    <w:rsid w:val="000055ED"/>
    <w:rsid w:val="00006AC7"/>
    <w:rsid w:val="00007943"/>
    <w:rsid w:val="0001079D"/>
    <w:rsid w:val="00011BAD"/>
    <w:rsid w:val="00012B82"/>
    <w:rsid w:val="00012C4E"/>
    <w:rsid w:val="00012C85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2F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38C"/>
    <w:rsid w:val="00081640"/>
    <w:rsid w:val="00081D25"/>
    <w:rsid w:val="00083659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4A21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6963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D6616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5ADD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1FBD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0ECD"/>
    <w:rsid w:val="001919D1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554D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78A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2E2C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1CAE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968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1BC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0BAA"/>
    <w:rsid w:val="003821D7"/>
    <w:rsid w:val="00382389"/>
    <w:rsid w:val="00382AF8"/>
    <w:rsid w:val="00383703"/>
    <w:rsid w:val="00383FFF"/>
    <w:rsid w:val="0038419A"/>
    <w:rsid w:val="003856D0"/>
    <w:rsid w:val="00385F64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4DE3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6DF"/>
    <w:rsid w:val="0043075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430"/>
    <w:rsid w:val="0045751F"/>
    <w:rsid w:val="004576D5"/>
    <w:rsid w:val="00460051"/>
    <w:rsid w:val="004609FB"/>
    <w:rsid w:val="00460C9C"/>
    <w:rsid w:val="00461610"/>
    <w:rsid w:val="0046270E"/>
    <w:rsid w:val="00462951"/>
    <w:rsid w:val="00462AFE"/>
    <w:rsid w:val="00462DCA"/>
    <w:rsid w:val="00463D20"/>
    <w:rsid w:val="0046573A"/>
    <w:rsid w:val="00465DE9"/>
    <w:rsid w:val="004670E0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6CB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37B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051"/>
    <w:rsid w:val="00584687"/>
    <w:rsid w:val="00584BC5"/>
    <w:rsid w:val="00584DA1"/>
    <w:rsid w:val="005856A6"/>
    <w:rsid w:val="005861D8"/>
    <w:rsid w:val="00590420"/>
    <w:rsid w:val="005916DE"/>
    <w:rsid w:val="00591813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06D2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3B9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5F92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29B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AFA"/>
    <w:rsid w:val="006E4CF1"/>
    <w:rsid w:val="006E5E3D"/>
    <w:rsid w:val="006E607A"/>
    <w:rsid w:val="006E6963"/>
    <w:rsid w:val="006E698A"/>
    <w:rsid w:val="006E6C06"/>
    <w:rsid w:val="006E6D18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102A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4E97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09F0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2F8A"/>
    <w:rsid w:val="00863757"/>
    <w:rsid w:val="00863E1F"/>
    <w:rsid w:val="0086455D"/>
    <w:rsid w:val="0086483A"/>
    <w:rsid w:val="008648C7"/>
    <w:rsid w:val="00864AF2"/>
    <w:rsid w:val="00866546"/>
    <w:rsid w:val="00866C64"/>
    <w:rsid w:val="00867CA5"/>
    <w:rsid w:val="008701CB"/>
    <w:rsid w:val="00870D40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6D6"/>
    <w:rsid w:val="008A6736"/>
    <w:rsid w:val="008A6747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5526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0AF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37F2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3437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563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0EA3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17C4F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81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0BD7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B38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0E2B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671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5671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13D4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1BB4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224A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3120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2258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EB6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0C3C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658D"/>
    <w:rsid w:val="00E570D8"/>
    <w:rsid w:val="00E602D8"/>
    <w:rsid w:val="00E6050B"/>
    <w:rsid w:val="00E60B6E"/>
    <w:rsid w:val="00E61722"/>
    <w:rsid w:val="00E622DE"/>
    <w:rsid w:val="00E624C3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5E35"/>
    <w:rsid w:val="00EA672B"/>
    <w:rsid w:val="00EA6ABD"/>
    <w:rsid w:val="00EA720C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275B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6FE9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1265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0CC6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0D58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2E2ACA-C5BC-43F6-B249-40C74634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77873"/>
    <w:rPr>
      <w:rFonts w:cs="Times New Roman"/>
      <w:b/>
      <w:lang w:eastAsia="en-US"/>
    </w:rPr>
  </w:style>
  <w:style w:type="character" w:styleId="af2">
    <w:name w:val="Hyperlink"/>
    <w:basedOn w:val="a0"/>
    <w:uiPriority w:val="99"/>
    <w:rsid w:val="00BE1E6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BE1E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60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C969EB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C969EB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D32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PC</cp:lastModifiedBy>
  <cp:revision>2</cp:revision>
  <cp:lastPrinted>2022-11-11T12:56:00Z</cp:lastPrinted>
  <dcterms:created xsi:type="dcterms:W3CDTF">2023-11-29T05:51:00Z</dcterms:created>
  <dcterms:modified xsi:type="dcterms:W3CDTF">2023-11-29T05:51:00Z</dcterms:modified>
</cp:coreProperties>
</file>